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bookmarkStart w:id="0" w:name="_GoBack"/>
            <w:bookmarkEnd w:id="0"/>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640B3C" w:rsidP="00DA29FC">
            <w:pPr>
              <w:spacing w:after="0" w:line="240" w:lineRule="auto"/>
              <w:jc w:val="center"/>
              <w:rPr>
                <w:rFonts w:ascii="Times New Roman" w:hAnsi="Times New Roman" w:cs="Times New Roman"/>
                <w:color w:val="000000"/>
                <w:sz w:val="26"/>
                <w:szCs w:val="28"/>
                <w:lang w:eastAsia="vi-VN"/>
              </w:rPr>
            </w:pPr>
            <w:r>
              <w:rPr>
                <w:rFonts w:ascii="Times New Roman" w:hAnsi="Times New Roman" w:cs="Times New Roman"/>
                <w:noProof/>
                <w:sz w:val="20"/>
              </w:rPr>
              <mc:AlternateContent>
                <mc:Choice Requires="wps">
                  <w:drawing>
                    <wp:anchor distT="4294967291" distB="4294967291" distL="114300" distR="114300" simplePos="0" relativeHeight="251659264" behindDoc="0" locked="0" layoutInCell="1" allowOverlap="1">
                      <wp:simplePos x="0" y="0"/>
                      <wp:positionH relativeFrom="column">
                        <wp:posOffset>695960</wp:posOffset>
                      </wp:positionH>
                      <wp:positionV relativeFrom="paragraph">
                        <wp:posOffset>-1906</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640B3C" w:rsidP="00DA29FC">
            <w:pPr>
              <w:spacing w:after="0" w:line="240" w:lineRule="auto"/>
              <w:jc w:val="center"/>
              <w:rPr>
                <w:rFonts w:ascii="Times New Roman" w:hAnsi="Times New Roman" w:cs="Times New Roman"/>
                <w:i/>
                <w:iCs/>
                <w:color w:val="000000"/>
                <w:sz w:val="28"/>
                <w:szCs w:val="28"/>
                <w:lang w:eastAsia="vi-VN"/>
              </w:rPr>
            </w:pPr>
            <w:r>
              <w:rPr>
                <w:rFonts w:ascii="Times New Roman" w:hAnsi="Times New Roman" w:cs="Times New Roman"/>
                <w:b/>
                <w:bCs/>
                <w:noProof/>
                <w:color w:val="000000"/>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816610</wp:posOffset>
                      </wp:positionH>
                      <wp:positionV relativeFrom="paragraph">
                        <wp:posOffset>6349</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640B3C" w:rsidP="00F12E25">
      <w:pPr>
        <w:spacing w:after="0" w:line="240" w:lineRule="auto"/>
        <w:jc w:val="center"/>
        <w:rPr>
          <w:rFonts w:ascii="Times New Roman" w:hAnsi="Times New Roman" w:cs="Times New Roman"/>
          <w:b/>
          <w:bCs/>
          <w:color w:val="000000"/>
          <w:sz w:val="28"/>
          <w:szCs w:val="28"/>
          <w:lang w:eastAsia="vi-VN"/>
        </w:rPr>
      </w:pPr>
      <w:r>
        <w:rPr>
          <w:rFonts w:ascii="Times New Roman" w:hAnsi="Times New Roman" w:cs="Times New Roman"/>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2181225</wp:posOffset>
                </wp:positionH>
                <wp:positionV relativeFrom="paragraph">
                  <wp:posOffset>50799</wp:posOffset>
                </wp:positionV>
                <wp:extent cx="1529080" cy="0"/>
                <wp:effectExtent l="0" t="0" r="13970"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PIHw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C8GOPIHwIAADgEAAAOAAAAAAAAAAAAAAAAAC4CAABkcnMvZTJvRG9jLnhtbFBLAQIt&#10;ABQABgAIAAAAIQAM78+f2wAAAAcBAAAPAAAAAAAAAAAAAAAAAHkEAABkcnMvZG93bnJldi54bWxQ&#10;SwUGAAAAAAQABADzAAAAgQUAAAAA&#10;"/>
            </w:pict>
          </mc:Fallback>
        </mc:AlternateConten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665229257" r:id="rId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5pt;height:49.5pt" o:ole="">
                  <v:imagedata r:id="rId8" o:title=""/>
                </v:shape>
                <o:OLEObject Type="Embed" ProgID="Word.Document.12" ShapeID="_x0000_i1026" DrawAspect="Icon" ObjectID="_1665229258" r:id="rId9">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5pt;height:49.5pt" o:ole="">
                  <v:imagedata r:id="rId10" o:title=""/>
                </v:shape>
                <o:OLEObject Type="Embed" ProgID="Word.Document.12" ShapeID="_x0000_i1027" DrawAspect="Icon" ObjectID="_1665229259" r:id="rId11">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5pt;height:49.5pt" o:ole="">
                  <v:imagedata r:id="rId12" o:title=""/>
                </v:shape>
                <o:OLEObject Type="Embed" ProgID="Word.Document.12" ShapeID="_x0000_i1028" DrawAspect="Icon" ObjectID="_1665229260" r:id="rId13">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5pt;height:49.5pt" o:ole="">
                  <v:imagedata r:id="rId14" o:title=""/>
                </v:shape>
                <o:OLEObject Type="Embed" ProgID="Word.Document.12" ShapeID="_x0000_i1029" DrawAspect="Icon" ObjectID="_1665229261" r:id="rId15">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5pt;height:49.5pt" o:ole="">
                  <v:imagedata r:id="rId16" o:title=""/>
                </v:shape>
                <o:OLEObject Type="Embed" ProgID="Word.Document.12" ShapeID="_x0000_i1030" DrawAspect="Icon" ObjectID="_1665229262" r:id="rId1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5pt;height:49.5pt" o:ole="">
                  <v:imagedata r:id="rId18" o:title=""/>
                </v:shape>
                <o:OLEObject Type="Embed" ProgID="Word.Document.12" ShapeID="_x0000_i1031" DrawAspect="Icon" ObjectID="_1665229263" r:id="rId19">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5pt;height:49.5pt" o:ole="">
                  <v:imagedata r:id="rId20" o:title=""/>
                </v:shape>
                <o:OLEObject Type="Embed" ProgID="Word.Document.12" ShapeID="_x0000_i1032" DrawAspect="Icon" ObjectID="_1665229264" r:id="rId21">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5pt;height:49.5pt" o:ole="">
                  <v:imagedata r:id="rId22" o:title=""/>
                </v:shape>
                <o:OLEObject Type="Embed" ProgID="Word.Document.12" ShapeID="_x0000_i1033" DrawAspect="Icon" ObjectID="_1665229265" r:id="rId23">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5pt;height:49.5pt" o:ole="">
                  <v:imagedata r:id="rId24" o:title=""/>
                </v:shape>
                <o:OLEObject Type="Embed" ProgID="Word.Document.12" ShapeID="_x0000_i1034" DrawAspect="Icon" ObjectID="_1665229266" r:id="rId25">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5pt;height:49.5pt" o:ole="">
                  <v:imagedata r:id="rId26" o:title=""/>
                </v:shape>
                <o:OLEObject Type="Embed" ProgID="Word.Document.12" ShapeID="_x0000_i1035" DrawAspect="Icon" ObjectID="_1665229267" r:id="rId2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5pt;height:49.5pt" o:ole="">
                  <v:imagedata r:id="rId28" o:title=""/>
                </v:shape>
                <o:OLEObject Type="Embed" ProgID="Word.Document.12" ShapeID="_x0000_i1036" DrawAspect="Icon" ObjectID="_1665229268" r:id="rId29">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5pt;height:49.5pt" o:ole="">
                  <v:imagedata r:id="rId30" o:title=""/>
                </v:shape>
                <o:OLEObject Type="Embed" ProgID="Word.Document.12" ShapeID="_x0000_i1037" DrawAspect="Icon" ObjectID="_1665229269" r:id="rId31">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5pt;height:49.5pt" o:ole="">
                  <v:imagedata r:id="rId32" o:title=""/>
                </v:shape>
                <o:OLEObject Type="Embed" ProgID="Word.Document.12" ShapeID="_x0000_i1038" DrawAspect="Icon" ObjectID="_1665229270" r:id="rId33">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5pt;height:49.5pt" o:ole="">
                  <v:imagedata r:id="rId34" o:title=""/>
                </v:shape>
                <o:OLEObject Type="Embed" ProgID="Word.Document.12" ShapeID="_x0000_i1039" DrawAspect="Icon" ObjectID="_1665229271" r:id="rId35">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5pt;height:49.5pt" o:ole="">
                  <v:imagedata r:id="rId36" o:title=""/>
                </v:shape>
                <o:OLEObject Type="Embed" ProgID="Word.Document.12" ShapeID="_x0000_i1040" DrawAspect="Icon" ObjectID="_1665229272" r:id="rId37">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5pt;height:49.5pt" o:ole="">
                  <v:imagedata r:id="rId38" o:title=""/>
                </v:shape>
                <o:OLEObject Type="Embed" ProgID="Word.Document.12" ShapeID="_x0000_i1041" DrawAspect="Icon" ObjectID="_1665229273" r:id="rId39">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Vụ việc 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07 ngày làm việc kể từ ngày ban hành kết luận nội dung tố cáo, người giải quyết tố cáo căn cứ vào kết 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5pt;height:49.5pt" o:ole="">
                  <v:imagedata r:id="rId40" o:title=""/>
                </v:shape>
                <o:OLEObject Type="Embed" ProgID="Word.Document.12" ShapeID="_x0000_i1042" DrawAspect="Icon" ObjectID="_1665229274" r:id="rId41">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5pt;height:49.5pt" o:ole="">
                  <v:imagedata r:id="rId42" o:title=""/>
                </v:shape>
                <o:OLEObject Type="Embed" ProgID="Word.Document.12" ShapeID="_x0000_i1043" DrawAspect="Icon" ObjectID="_1665229275" r:id="rId43">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5pt;height:48.75pt" o:ole="">
                  <v:imagedata r:id="rId44" o:title=""/>
                </v:shape>
                <o:OLEObject Type="Embed" ProgID="Word.Document.8" ShapeID="_x0000_i1044" DrawAspect="Icon" ObjectID="_1665229276" r:id="rId45">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5pt;height:48.75pt" o:ole="">
                  <v:imagedata r:id="rId46" o:title=""/>
                </v:shape>
                <o:OLEObject Type="Embed" ProgID="Word.Document.8" ShapeID="_x0000_i1045" DrawAspect="Icon" ObjectID="_1665229277" r:id="rId47">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5pt;height:49.5pt" o:ole="">
                  <v:imagedata r:id="rId48" o:title=""/>
                </v:shape>
                <o:OLEObject Type="Embed" ProgID="Word.Document.12" ShapeID="_x0000_i1046" DrawAspect="Icon" ObjectID="_1665229278" r:id="rId49">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5pt;height:49.5pt" o:ole="">
                  <v:imagedata r:id="rId50" o:title=""/>
                </v:shape>
                <o:OLEObject Type="Embed" ProgID="Word.Document.12" ShapeID="_x0000_i1047" DrawAspect="Icon" ObjectID="_1665229279" r:id="rId51">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5pt;height:49.5pt" o:ole="">
                  <v:imagedata r:id="rId52" o:title=""/>
                </v:shape>
                <o:OLEObject Type="Embed" ProgID="Word.Document.12" ShapeID="_x0000_i1048" DrawAspect="Icon" ObjectID="_1665229280" r:id="rId53">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5pt;height:49.5pt" o:ole="">
                  <v:imagedata r:id="rId54" o:title=""/>
                </v:shape>
                <o:OLEObject Type="Embed" ProgID="Word.Document.12" ShapeID="_x0000_i1049" DrawAspect="Icon" ObjectID="_1665229281" r:id="rId55">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5pt;height:49.5pt" o:ole="">
                  <v:imagedata r:id="rId56" o:title=""/>
                </v:shape>
                <o:OLEObject Type="Embed" ProgID="Word.Document.12" ShapeID="_x0000_i1050" DrawAspect="Icon" ObjectID="_1665229282" r:id="rId57">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5pt;height:49.5pt" o:ole="">
                  <v:imagedata r:id="rId58" o:title=""/>
                </v:shape>
                <o:OLEObject Type="Embed" ProgID="Word.Document.12" ShapeID="_x0000_i1051" DrawAspect="Icon" ObjectID="_1665229283" r:id="rId59">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5pt;height:49.5pt" o:ole="">
                  <v:imagedata r:id="rId60" o:title=""/>
                </v:shape>
                <o:OLEObject Type="Embed" ProgID="Word.Document.12" ShapeID="_x0000_i1052" DrawAspect="Icon" ObjectID="_1665229284" r:id="rId61">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5pt;height:48.75pt" o:ole="">
                  <v:imagedata r:id="rId62" o:title=""/>
                </v:shape>
                <o:OLEObject Type="Embed" ProgID="Word.Document.12" ShapeID="_x0000_i1053" DrawAspect="Icon" ObjectID="_1665229285" r:id="rId63">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5pt;height:48.75pt" o:ole="">
                  <v:imagedata r:id="rId64" o:title=""/>
                </v:shape>
                <o:OLEObject Type="Embed" ProgID="Word.Document.12" ShapeID="_x0000_i1054" DrawAspect="Icon" ObjectID="_1665229286" r:id="rId65">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5pt;height:49.5pt" o:ole="">
                  <v:imagedata r:id="rId66" o:title=""/>
                </v:shape>
                <o:OLEObject Type="Embed" ProgID="Word.Document.12" ShapeID="_x0000_i1055" DrawAspect="Icon" ObjectID="_1665229287" r:id="rId67">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hoặc văn bản ghi nội dung tố cáo; báo cáo hoặc biên bản kiểm tra, xác 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nhận được đơn khiếu nại, tố cáo không do người khiếu nại, người tố cáo trực tiếp 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5pt;height:49.5pt" o:ole="">
                  <v:imagedata r:id="rId68" o:title=""/>
                </v:shape>
                <o:OLEObject Type="Embed" ProgID="Word.Document.12" ShapeID="_x0000_i1056" DrawAspect="Icon" ObjectID="_1665229288" r:id="rId69">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 Văn bản trả lại 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5pt;height:49.5pt" o:ole="">
                  <v:imagedata r:id="rId70" o:title=""/>
                </v:shape>
                <o:OLEObject Type="Embed" ProgID="Word.Document.12" ShapeID="_x0000_i1057" DrawAspect="Icon" ObjectID="_1665229289" r:id="rId71">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5pt;height:49.5pt" o:ole="">
                  <v:imagedata r:id="rId72" o:title=""/>
                </v:shape>
                <o:OLEObject Type="Embed" ProgID="Word.Document.12" ShapeID="_x0000_i1058" DrawAspect="Icon" ObjectID="_1665229290" r:id="rId73">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5pt;height:49.5pt" o:ole="">
                  <v:imagedata r:id="rId74" o:title=""/>
                </v:shape>
                <o:OLEObject Type="Embed" ProgID="Word.Document.12" ShapeID="_x0000_i1059" DrawAspect="Icon" ObjectID="_1665229291" r:id="rId75">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5pt;height:49.5pt" o:ole="">
                  <v:imagedata r:id="rId76" o:title=""/>
                </v:shape>
                <o:OLEObject Type="Embed" ProgID="Word.Document.12" ShapeID="_x0000_i1060" DrawAspect="Icon" ObjectID="_1665229292" r:id="rId77">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5pt;height:49.5pt" o:ole="">
                  <v:imagedata r:id="rId78" o:title=""/>
                </v:shape>
                <o:OLEObject Type="Embed" ProgID="Word.Document.12" ShapeID="_x0000_i1061" DrawAspect="Icon" ObjectID="_1665229293" r:id="rId79">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5pt;height:49.5pt" o:ole="">
                  <v:imagedata r:id="rId80" o:title=""/>
                </v:shape>
                <o:OLEObject Type="Embed" ProgID="Word.Document.12" ShapeID="_x0000_i1062" DrawAspect="Icon" ObjectID="_1665229294" r:id="rId81">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5pt;height:49.5pt" o:ole="">
                  <v:imagedata r:id="rId82" o:title=""/>
                </v:shape>
                <o:OLEObject Type="Embed" ProgID="Word.Document.12" ShapeID="_x0000_i1063" DrawAspect="Icon" ObjectID="_1665229295" r:id="rId83">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5"/>
    <w:rsid w:val="00067A45"/>
    <w:rsid w:val="00166643"/>
    <w:rsid w:val="001D37A5"/>
    <w:rsid w:val="002764D5"/>
    <w:rsid w:val="002B6909"/>
    <w:rsid w:val="002D514D"/>
    <w:rsid w:val="003629DB"/>
    <w:rsid w:val="003B2663"/>
    <w:rsid w:val="003C42EF"/>
    <w:rsid w:val="00437F63"/>
    <w:rsid w:val="004A16B2"/>
    <w:rsid w:val="005A5EA5"/>
    <w:rsid w:val="00640B3C"/>
    <w:rsid w:val="00652709"/>
    <w:rsid w:val="006D5CC3"/>
    <w:rsid w:val="006F74CA"/>
    <w:rsid w:val="007A79A3"/>
    <w:rsid w:val="00892327"/>
    <w:rsid w:val="009F6954"/>
    <w:rsid w:val="00AF1D6B"/>
    <w:rsid w:val="00DA29FC"/>
    <w:rsid w:val="00F12E25"/>
    <w:rsid w:val="00FA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package" Target="embeddings/Microsoft_Word_Document8.docx"/><Relationship Id="rId42" Type="http://schemas.openxmlformats.org/officeDocument/2006/relationships/image" Target="media/image19.emf"/><Relationship Id="rId47" Type="http://schemas.openxmlformats.org/officeDocument/2006/relationships/oleObject" Target="embeddings/Microsoft_Word_97_-_2003_Document2.doc"/><Relationship Id="rId63" Type="http://schemas.openxmlformats.org/officeDocument/2006/relationships/package" Target="embeddings/Microsoft_Word_Document27.docx"/><Relationship Id="rId68" Type="http://schemas.openxmlformats.org/officeDocument/2006/relationships/image" Target="media/image32.emf"/><Relationship Id="rId84" Type="http://schemas.openxmlformats.org/officeDocument/2006/relationships/fontTable" Target="fontTable.xml"/><Relationship Id="rId16" Type="http://schemas.openxmlformats.org/officeDocument/2006/relationships/image" Target="media/image6.emf"/><Relationship Id="rId11" Type="http://schemas.openxmlformats.org/officeDocument/2006/relationships/package" Target="embeddings/Microsoft_Word_Document3.docx"/><Relationship Id="rId32" Type="http://schemas.openxmlformats.org/officeDocument/2006/relationships/image" Target="media/image14.emf"/><Relationship Id="rId37" Type="http://schemas.openxmlformats.org/officeDocument/2006/relationships/package" Target="embeddings/Microsoft_Word_Document16.docx"/><Relationship Id="rId53" Type="http://schemas.openxmlformats.org/officeDocument/2006/relationships/package" Target="embeddings/Microsoft_Word_Document22.docx"/><Relationship Id="rId58" Type="http://schemas.openxmlformats.org/officeDocument/2006/relationships/image" Target="media/image27.emf"/><Relationship Id="rId74" Type="http://schemas.openxmlformats.org/officeDocument/2006/relationships/image" Target="media/image35.emf"/><Relationship Id="rId79" Type="http://schemas.openxmlformats.org/officeDocument/2006/relationships/package" Target="embeddings/Microsoft_Word_Document35.docx"/><Relationship Id="rId5" Type="http://schemas.openxmlformats.org/officeDocument/2006/relationships/webSettings" Target="webSettings.xml"/><Relationship Id="rId19" Type="http://schemas.openxmlformats.org/officeDocument/2006/relationships/package" Target="embeddings/Microsoft_Word_Document7.doc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Word_Document11.docx"/><Relationship Id="rId30" Type="http://schemas.openxmlformats.org/officeDocument/2006/relationships/image" Target="media/image13.emf"/><Relationship Id="rId35" Type="http://schemas.openxmlformats.org/officeDocument/2006/relationships/package" Target="embeddings/Microsoft_Word_Document15.docx"/><Relationship Id="rId43" Type="http://schemas.openxmlformats.org/officeDocument/2006/relationships/package" Target="embeddings/Microsoft_Word_Document19.docx"/><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package" Target="embeddings/Microsoft_Word_Document30.docx"/><Relationship Id="rId77" Type="http://schemas.openxmlformats.org/officeDocument/2006/relationships/package" Target="embeddings/Microsoft_Word_Document34.docx"/><Relationship Id="rId8" Type="http://schemas.openxmlformats.org/officeDocument/2006/relationships/image" Target="media/image2.emf"/><Relationship Id="rId51" Type="http://schemas.openxmlformats.org/officeDocument/2006/relationships/package" Target="embeddings/Microsoft_Word_Document21.docx"/><Relationship Id="rId72" Type="http://schemas.openxmlformats.org/officeDocument/2006/relationships/image" Target="media/image34.emf"/><Relationship Id="rId80" Type="http://schemas.openxmlformats.org/officeDocument/2006/relationships/image" Target="media/image38.emf"/><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package" Target="embeddings/Microsoft_Word_Document6.docx"/><Relationship Id="rId25" Type="http://schemas.openxmlformats.org/officeDocument/2006/relationships/package" Target="embeddings/Microsoft_Word_Document10.docx"/><Relationship Id="rId33" Type="http://schemas.openxmlformats.org/officeDocument/2006/relationships/package" Target="embeddings/Microsoft_Word_Document14.docx"/><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package" Target="embeddings/Microsoft_Word_Document25.docx"/><Relationship Id="rId67" Type="http://schemas.openxmlformats.org/officeDocument/2006/relationships/package" Target="embeddings/Microsoft_Word_Document29.docx"/><Relationship Id="rId20" Type="http://schemas.openxmlformats.org/officeDocument/2006/relationships/image" Target="media/image8.emf"/><Relationship Id="rId41" Type="http://schemas.openxmlformats.org/officeDocument/2006/relationships/package" Target="embeddings/Microsoft_Word_Document18.docx"/><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image" Target="media/image33.emf"/><Relationship Id="rId75" Type="http://schemas.openxmlformats.org/officeDocument/2006/relationships/package" Target="embeddings/Microsoft_Word_Document33.docx"/><Relationship Id="rId83" Type="http://schemas.openxmlformats.org/officeDocument/2006/relationships/package" Target="embeddings/Microsoft_Word_Document37.docx"/><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package" Target="embeddings/Microsoft_Word_Document5.docx"/><Relationship Id="rId23" Type="http://schemas.openxmlformats.org/officeDocument/2006/relationships/package" Target="embeddings/Microsoft_Word_Document9.doc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package" Target="embeddings/Microsoft_Word_Document20.docx"/><Relationship Id="rId57" Type="http://schemas.openxmlformats.org/officeDocument/2006/relationships/package" Target="embeddings/Microsoft_Word_Document24.docx"/><Relationship Id="rId10" Type="http://schemas.openxmlformats.org/officeDocument/2006/relationships/image" Target="media/image3.emf"/><Relationship Id="rId31" Type="http://schemas.openxmlformats.org/officeDocument/2006/relationships/package" Target="embeddings/Microsoft_Word_Document13.docx"/><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package" Target="embeddings/Microsoft_Word_Document28.docx"/><Relationship Id="rId73" Type="http://schemas.openxmlformats.org/officeDocument/2006/relationships/package" Target="embeddings/Microsoft_Word_Document32.docx"/><Relationship Id="rId78" Type="http://schemas.openxmlformats.org/officeDocument/2006/relationships/image" Target="media/image37.emf"/><Relationship Id="rId81" Type="http://schemas.openxmlformats.org/officeDocument/2006/relationships/package" Target="embeddings/Microsoft_Word_Document36.docx"/><Relationship Id="rId86"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package" Target="embeddings/Microsoft_Word_Document2.docx"/><Relationship Id="rId13" Type="http://schemas.openxmlformats.org/officeDocument/2006/relationships/package" Target="embeddings/Microsoft_Word_Document4.docx"/><Relationship Id="rId18" Type="http://schemas.openxmlformats.org/officeDocument/2006/relationships/image" Target="media/image7.emf"/><Relationship Id="rId39" Type="http://schemas.openxmlformats.org/officeDocument/2006/relationships/package" Target="embeddings/Microsoft_Word_Document17.docx"/><Relationship Id="rId34" Type="http://schemas.openxmlformats.org/officeDocument/2006/relationships/image" Target="media/image15.emf"/><Relationship Id="rId50" Type="http://schemas.openxmlformats.org/officeDocument/2006/relationships/image" Target="media/image23.emf"/><Relationship Id="rId55" Type="http://schemas.openxmlformats.org/officeDocument/2006/relationships/package" Target="embeddings/Microsoft_Word_Document23.docx"/><Relationship Id="rId76" Type="http://schemas.openxmlformats.org/officeDocument/2006/relationships/image" Target="media/image36.emf"/><Relationship Id="rId7" Type="http://schemas.openxmlformats.org/officeDocument/2006/relationships/package" Target="embeddings/Microsoft_Word_Document1.docx"/><Relationship Id="rId71" Type="http://schemas.openxmlformats.org/officeDocument/2006/relationships/package" Target="embeddings/Microsoft_Word_Document31.docx"/><Relationship Id="rId2" Type="http://schemas.openxmlformats.org/officeDocument/2006/relationships/styles" Target="styles.xml"/><Relationship Id="rId29" Type="http://schemas.openxmlformats.org/officeDocument/2006/relationships/package" Target="embeddings/Microsoft_Word_Document12.docx"/><Relationship Id="rId24" Type="http://schemas.openxmlformats.org/officeDocument/2006/relationships/image" Target="media/image10.emf"/><Relationship Id="rId40" Type="http://schemas.openxmlformats.org/officeDocument/2006/relationships/image" Target="media/image18.emf"/><Relationship Id="rId45" Type="http://schemas.openxmlformats.org/officeDocument/2006/relationships/oleObject" Target="embeddings/Microsoft_Word_97_-_2003_Document1.doc"/><Relationship Id="rId66" Type="http://schemas.openxmlformats.org/officeDocument/2006/relationships/image" Target="media/image31.emf"/><Relationship Id="rId87" Type="http://schemas.openxmlformats.org/officeDocument/2006/relationships/customXml" Target="../customXml/item2.xml"/><Relationship Id="rId61" Type="http://schemas.openxmlformats.org/officeDocument/2006/relationships/package" Target="embeddings/Microsoft_Word_Document26.docx"/><Relationship Id="rId82" Type="http://schemas.openxmlformats.org/officeDocument/2006/relationships/image" Target="media/image3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D5A42-D02F-474A-AB78-690C416694ED}"/>
</file>

<file path=customXml/itemProps2.xml><?xml version="1.0" encoding="utf-8"?>
<ds:datastoreItem xmlns:ds="http://schemas.openxmlformats.org/officeDocument/2006/customXml" ds:itemID="{85682ABF-C3D6-4612-BF86-4DC2B8A80328}"/>
</file>

<file path=customXml/itemProps3.xml><?xml version="1.0" encoding="utf-8"?>
<ds:datastoreItem xmlns:ds="http://schemas.openxmlformats.org/officeDocument/2006/customXml" ds:itemID="{3E6C2D4F-3143-49D6-8537-F94ED32AFBD1}"/>
</file>

<file path=docProps/app.xml><?xml version="1.0" encoding="utf-8"?>
<Properties xmlns="http://schemas.openxmlformats.org/officeDocument/2006/extended-properties" xmlns:vt="http://schemas.openxmlformats.org/officeDocument/2006/docPropsVTypes">
  <Template>Normal</Template>
  <TotalTime>0</TotalTime>
  <Pages>10</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th</cp:lastModifiedBy>
  <cp:revision>2</cp:revision>
  <cp:lastPrinted>2020-04-01T01:57:00Z</cp:lastPrinted>
  <dcterms:created xsi:type="dcterms:W3CDTF">2020-10-26T07:54:00Z</dcterms:created>
  <dcterms:modified xsi:type="dcterms:W3CDTF">2020-10-26T07:54:00Z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